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529E" w14:textId="35451D08" w:rsidR="00360FA7" w:rsidRPr="00360FA7" w:rsidRDefault="00360FA7" w:rsidP="007961B7">
      <w:pPr>
        <w:jc w:val="center"/>
        <w:rPr>
          <w:rFonts w:ascii="Arial" w:hAnsi="Arial" w:cs="Arial"/>
          <w:sz w:val="22"/>
          <w:szCs w:val="22"/>
        </w:rPr>
      </w:pPr>
      <w:r w:rsidRPr="00360FA7">
        <w:rPr>
          <w:rFonts w:ascii="Arial" w:hAnsi="Arial" w:cs="Arial"/>
          <w:b/>
          <w:bCs/>
          <w:sz w:val="22"/>
          <w:szCs w:val="22"/>
        </w:rPr>
        <w:t>Approval to Attend the 202</w:t>
      </w:r>
      <w:r w:rsidR="009D6805" w:rsidRPr="005E03DD">
        <w:rPr>
          <w:rFonts w:ascii="Arial" w:hAnsi="Arial" w:cs="Arial"/>
          <w:b/>
          <w:bCs/>
          <w:sz w:val="22"/>
          <w:szCs w:val="22"/>
        </w:rPr>
        <w:t>6</w:t>
      </w:r>
      <w:r w:rsidRPr="00360FA7">
        <w:rPr>
          <w:rFonts w:ascii="Arial" w:hAnsi="Arial" w:cs="Arial"/>
          <w:b/>
          <w:bCs/>
          <w:sz w:val="22"/>
          <w:szCs w:val="22"/>
        </w:rPr>
        <w:t> GEOINT Symposium</w:t>
      </w:r>
    </w:p>
    <w:p w14:paraId="13614743" w14:textId="5FFA7A6C" w:rsidR="00E91110" w:rsidRPr="00E91110" w:rsidRDefault="00E91110" w:rsidP="00360FA7">
      <w:pPr>
        <w:rPr>
          <w:rFonts w:ascii="Arial" w:hAnsi="Arial" w:cs="Arial"/>
          <w:color w:val="0070C0"/>
          <w:sz w:val="22"/>
          <w:szCs w:val="22"/>
        </w:rPr>
      </w:pPr>
      <w:r>
        <w:rPr>
          <w:rFonts w:ascii="Arial" w:hAnsi="Arial" w:cs="Arial"/>
          <w:sz w:val="22"/>
          <w:szCs w:val="22"/>
        </w:rPr>
        <w:t xml:space="preserve">Dear </w:t>
      </w:r>
      <w:r w:rsidRPr="00E91110">
        <w:rPr>
          <w:rFonts w:ascii="Arial" w:hAnsi="Arial" w:cs="Arial"/>
          <w:color w:val="0070C0"/>
          <w:sz w:val="22"/>
          <w:szCs w:val="22"/>
        </w:rPr>
        <w:t>[Approver’s Name],</w:t>
      </w:r>
    </w:p>
    <w:p w14:paraId="760A60D2" w14:textId="39EB4FCD" w:rsidR="00360FA7" w:rsidRPr="005E03DD" w:rsidRDefault="00360FA7" w:rsidP="00360FA7">
      <w:pPr>
        <w:rPr>
          <w:rFonts w:ascii="Arial" w:hAnsi="Arial" w:cs="Arial"/>
          <w:sz w:val="22"/>
          <w:szCs w:val="22"/>
        </w:rPr>
      </w:pPr>
      <w:r w:rsidRPr="00360FA7">
        <w:rPr>
          <w:rFonts w:ascii="Arial" w:hAnsi="Arial" w:cs="Arial"/>
          <w:sz w:val="22"/>
          <w:szCs w:val="22"/>
        </w:rPr>
        <w:t>I am seeking approval to attend the United States Geospatial</w:t>
      </w:r>
      <w:r w:rsidR="0068253A" w:rsidRPr="005E03DD">
        <w:rPr>
          <w:rFonts w:ascii="Arial" w:hAnsi="Arial" w:cs="Arial"/>
          <w:sz w:val="22"/>
          <w:szCs w:val="22"/>
        </w:rPr>
        <w:t xml:space="preserve"> I</w:t>
      </w:r>
      <w:r w:rsidRPr="00360FA7">
        <w:rPr>
          <w:rFonts w:ascii="Arial" w:hAnsi="Arial" w:cs="Arial"/>
          <w:sz w:val="22"/>
          <w:szCs w:val="22"/>
        </w:rPr>
        <w:t>ntelligence</w:t>
      </w:r>
      <w:r w:rsidR="00ED47DD" w:rsidRPr="005E03DD">
        <w:rPr>
          <w:rFonts w:ascii="Arial" w:hAnsi="Arial" w:cs="Arial"/>
          <w:sz w:val="22"/>
          <w:szCs w:val="22"/>
        </w:rPr>
        <w:t xml:space="preserve"> </w:t>
      </w:r>
      <w:r w:rsidRPr="00360FA7">
        <w:rPr>
          <w:rFonts w:ascii="Arial" w:hAnsi="Arial" w:cs="Arial"/>
          <w:sz w:val="22"/>
          <w:szCs w:val="22"/>
        </w:rPr>
        <w:t>Foundation</w:t>
      </w:r>
      <w:r w:rsidR="00ED47DD" w:rsidRPr="005E03DD">
        <w:rPr>
          <w:rFonts w:ascii="Arial" w:hAnsi="Arial" w:cs="Arial"/>
          <w:sz w:val="22"/>
          <w:szCs w:val="22"/>
        </w:rPr>
        <w:t xml:space="preserve"> </w:t>
      </w:r>
      <w:r w:rsidRPr="00360FA7">
        <w:rPr>
          <w:rFonts w:ascii="Arial" w:hAnsi="Arial" w:cs="Arial"/>
          <w:sz w:val="22"/>
          <w:szCs w:val="22"/>
        </w:rPr>
        <w:t>(USGIF)</w:t>
      </w:r>
      <w:r w:rsidR="00ED47DD" w:rsidRPr="005E03DD">
        <w:rPr>
          <w:rFonts w:ascii="Arial" w:hAnsi="Arial" w:cs="Arial"/>
          <w:sz w:val="22"/>
          <w:szCs w:val="22"/>
        </w:rPr>
        <w:t xml:space="preserve"> </w:t>
      </w:r>
      <w:r w:rsidRPr="00360FA7">
        <w:rPr>
          <w:rFonts w:ascii="Arial" w:hAnsi="Arial" w:cs="Arial"/>
          <w:b/>
          <w:bCs/>
          <w:sz w:val="22"/>
          <w:szCs w:val="22"/>
        </w:rPr>
        <w:t>GEOINT Symposium</w:t>
      </w:r>
      <w:r w:rsidR="00ED47DD" w:rsidRPr="005E03DD">
        <w:rPr>
          <w:rFonts w:ascii="Arial" w:hAnsi="Arial" w:cs="Arial"/>
          <w:b/>
          <w:bCs/>
          <w:sz w:val="22"/>
          <w:szCs w:val="22"/>
        </w:rPr>
        <w:t xml:space="preserve"> 2026</w:t>
      </w:r>
      <w:r w:rsidRPr="00360FA7">
        <w:rPr>
          <w:rFonts w:ascii="Arial" w:hAnsi="Arial" w:cs="Arial"/>
          <w:sz w:val="22"/>
          <w:szCs w:val="22"/>
        </w:rPr>
        <w:t xml:space="preserve">, May </w:t>
      </w:r>
      <w:r w:rsidR="004C011E" w:rsidRPr="005E03DD">
        <w:rPr>
          <w:rFonts w:ascii="Arial" w:hAnsi="Arial" w:cs="Arial"/>
          <w:sz w:val="22"/>
          <w:szCs w:val="22"/>
        </w:rPr>
        <w:t>3</w:t>
      </w:r>
      <w:r w:rsidRPr="00360FA7">
        <w:rPr>
          <w:rFonts w:ascii="Arial" w:hAnsi="Arial" w:cs="Arial"/>
          <w:sz w:val="22"/>
          <w:szCs w:val="22"/>
        </w:rPr>
        <w:t>-</w:t>
      </w:r>
      <w:r w:rsidR="004C011E" w:rsidRPr="005E03DD">
        <w:rPr>
          <w:rFonts w:ascii="Arial" w:hAnsi="Arial" w:cs="Arial"/>
          <w:sz w:val="22"/>
          <w:szCs w:val="22"/>
        </w:rPr>
        <w:t>6</w:t>
      </w:r>
      <w:r w:rsidR="00ED47DD" w:rsidRPr="005E03DD">
        <w:rPr>
          <w:rFonts w:ascii="Arial" w:hAnsi="Arial" w:cs="Arial"/>
          <w:sz w:val="22"/>
          <w:szCs w:val="22"/>
        </w:rPr>
        <w:t xml:space="preserve"> </w:t>
      </w:r>
      <w:r w:rsidRPr="00360FA7">
        <w:rPr>
          <w:rFonts w:ascii="Arial" w:hAnsi="Arial" w:cs="Arial"/>
          <w:sz w:val="22"/>
          <w:szCs w:val="22"/>
        </w:rPr>
        <w:t xml:space="preserve">in </w:t>
      </w:r>
      <w:r w:rsidR="004C011E" w:rsidRPr="005E03DD">
        <w:rPr>
          <w:rFonts w:ascii="Arial" w:hAnsi="Arial" w:cs="Arial"/>
          <w:sz w:val="22"/>
          <w:szCs w:val="22"/>
        </w:rPr>
        <w:t>Aurora, Colorado</w:t>
      </w:r>
      <w:r w:rsidRPr="00360FA7">
        <w:rPr>
          <w:rFonts w:ascii="Arial" w:hAnsi="Arial" w:cs="Arial"/>
          <w:sz w:val="22"/>
          <w:szCs w:val="22"/>
        </w:rPr>
        <w:t xml:space="preserve">. </w:t>
      </w:r>
    </w:p>
    <w:p w14:paraId="422BB115" w14:textId="6F0934C4" w:rsidR="00174610" w:rsidRPr="005E03DD" w:rsidRDefault="00EB4C54" w:rsidP="00EB4C54">
      <w:pPr>
        <w:rPr>
          <w:rFonts w:ascii="Arial" w:hAnsi="Arial" w:cs="Arial"/>
          <w:sz w:val="22"/>
          <w:szCs w:val="22"/>
        </w:rPr>
      </w:pPr>
      <w:r w:rsidRPr="00EB4C54">
        <w:rPr>
          <w:rFonts w:ascii="Arial" w:hAnsi="Arial" w:cs="Arial"/>
          <w:sz w:val="22"/>
          <w:szCs w:val="22"/>
        </w:rPr>
        <w:t xml:space="preserve">The GEOINT Symposium is the nation’s largest and most influential gathering of geospatial intelligence professionals, bringing together </w:t>
      </w:r>
      <w:r w:rsidR="0090106A">
        <w:rPr>
          <w:rFonts w:ascii="Arial" w:hAnsi="Arial" w:cs="Arial"/>
          <w:sz w:val="22"/>
          <w:szCs w:val="22"/>
        </w:rPr>
        <w:t xml:space="preserve">more than 4,000 </w:t>
      </w:r>
      <w:r w:rsidRPr="00EB4C54">
        <w:rPr>
          <w:rFonts w:ascii="Arial" w:hAnsi="Arial" w:cs="Arial"/>
          <w:sz w:val="22"/>
          <w:szCs w:val="22"/>
        </w:rPr>
        <w:t>mission leaders, innovators, and practitioners across government, industry, and academia.</w:t>
      </w:r>
    </w:p>
    <w:p w14:paraId="200BA05C" w14:textId="006AF2B9" w:rsidR="00174610" w:rsidRPr="00174610" w:rsidRDefault="00174610" w:rsidP="00174610">
      <w:pPr>
        <w:rPr>
          <w:rFonts w:ascii="Arial" w:hAnsi="Arial" w:cs="Arial"/>
          <w:sz w:val="22"/>
          <w:szCs w:val="22"/>
        </w:rPr>
      </w:pPr>
      <w:r w:rsidRPr="00174610">
        <w:rPr>
          <w:rFonts w:ascii="Arial" w:hAnsi="Arial" w:cs="Arial"/>
          <w:b/>
          <w:bCs/>
          <w:sz w:val="22"/>
          <w:szCs w:val="22"/>
        </w:rPr>
        <w:t>Key Benefits of Attending</w:t>
      </w:r>
    </w:p>
    <w:p w14:paraId="79139AA6" w14:textId="77777777" w:rsidR="00174610" w:rsidRPr="00174610" w:rsidRDefault="00174610" w:rsidP="00174610">
      <w:pPr>
        <w:rPr>
          <w:rFonts w:ascii="Arial" w:hAnsi="Arial" w:cs="Arial"/>
          <w:b/>
          <w:bCs/>
          <w:sz w:val="22"/>
          <w:szCs w:val="22"/>
        </w:rPr>
      </w:pPr>
      <w:r w:rsidRPr="00174610">
        <w:rPr>
          <w:rFonts w:ascii="Arial" w:hAnsi="Arial" w:cs="Arial"/>
          <w:b/>
          <w:bCs/>
          <w:sz w:val="22"/>
          <w:szCs w:val="22"/>
        </w:rPr>
        <w:t>1. Strategic Insight from Mission Leaders</w:t>
      </w:r>
    </w:p>
    <w:p w14:paraId="252168E5" w14:textId="613D175C" w:rsidR="0079692F" w:rsidRPr="0079692F" w:rsidRDefault="0079692F" w:rsidP="0079692F">
      <w:pPr>
        <w:rPr>
          <w:rFonts w:ascii="Arial" w:hAnsi="Arial" w:cs="Arial"/>
          <w:sz w:val="22"/>
          <w:szCs w:val="22"/>
        </w:rPr>
      </w:pPr>
      <w:r w:rsidRPr="0079692F">
        <w:rPr>
          <w:rFonts w:ascii="Arial" w:hAnsi="Arial" w:cs="Arial"/>
          <w:sz w:val="22"/>
          <w:szCs w:val="22"/>
        </w:rPr>
        <w:t xml:space="preserve">GEOINT </w:t>
      </w:r>
      <w:r w:rsidRPr="005E03DD">
        <w:rPr>
          <w:rFonts w:ascii="Arial" w:hAnsi="Arial" w:cs="Arial"/>
          <w:sz w:val="22"/>
          <w:szCs w:val="22"/>
        </w:rPr>
        <w:t xml:space="preserve">Symposium </w:t>
      </w:r>
      <w:r w:rsidRPr="0079692F">
        <w:rPr>
          <w:rFonts w:ascii="Arial" w:hAnsi="Arial" w:cs="Arial"/>
          <w:sz w:val="22"/>
          <w:szCs w:val="22"/>
        </w:rPr>
        <w:t xml:space="preserve">2026 features main stage briefings from senior national security leaders, </w:t>
      </w:r>
      <w:r w:rsidR="006A36DC">
        <w:rPr>
          <w:rFonts w:ascii="Arial" w:hAnsi="Arial" w:cs="Arial"/>
          <w:sz w:val="22"/>
          <w:szCs w:val="22"/>
        </w:rPr>
        <w:t xml:space="preserve">whose </w:t>
      </w:r>
      <w:r w:rsidRPr="0079692F">
        <w:rPr>
          <w:rFonts w:ascii="Arial" w:hAnsi="Arial" w:cs="Arial"/>
          <w:sz w:val="22"/>
          <w:szCs w:val="22"/>
        </w:rPr>
        <w:t>perspectives on homeland defense and space-based intelligence will directly inform our alignment with evolving mission priorities.</w:t>
      </w:r>
    </w:p>
    <w:p w14:paraId="026A22BE" w14:textId="77777777" w:rsidR="00174610" w:rsidRPr="00174610" w:rsidRDefault="00174610" w:rsidP="00174610">
      <w:pPr>
        <w:rPr>
          <w:rFonts w:ascii="Arial" w:hAnsi="Arial" w:cs="Arial"/>
          <w:b/>
          <w:bCs/>
          <w:sz w:val="22"/>
          <w:szCs w:val="22"/>
        </w:rPr>
      </w:pPr>
      <w:r w:rsidRPr="00174610">
        <w:rPr>
          <w:rFonts w:ascii="Arial" w:hAnsi="Arial" w:cs="Arial"/>
          <w:b/>
          <w:bCs/>
          <w:sz w:val="22"/>
          <w:szCs w:val="22"/>
        </w:rPr>
        <w:t>2. Exposure to Applied Innovation and Next</w:t>
      </w:r>
      <w:r w:rsidRPr="00174610">
        <w:rPr>
          <w:rFonts w:ascii="Arial" w:hAnsi="Arial" w:cs="Arial"/>
          <w:b/>
          <w:bCs/>
          <w:sz w:val="22"/>
          <w:szCs w:val="22"/>
        </w:rPr>
        <w:noBreakHyphen/>
        <w:t>Generation Tools</w:t>
      </w:r>
    </w:p>
    <w:p w14:paraId="3CC39603" w14:textId="66497889" w:rsidR="00174610" w:rsidRPr="00174610" w:rsidRDefault="00174610" w:rsidP="00174610">
      <w:pPr>
        <w:rPr>
          <w:rFonts w:ascii="Arial" w:hAnsi="Arial" w:cs="Arial"/>
          <w:sz w:val="22"/>
          <w:szCs w:val="22"/>
        </w:rPr>
      </w:pPr>
      <w:r w:rsidRPr="00174610">
        <w:rPr>
          <w:rFonts w:ascii="Arial" w:hAnsi="Arial" w:cs="Arial"/>
          <w:sz w:val="22"/>
          <w:szCs w:val="22"/>
        </w:rPr>
        <w:t>The symposium showcases cutting-edge applications of AI, autonomy, space technologies, and advanced analytics as used in live mission environments. Participating in hands</w:t>
      </w:r>
      <w:r w:rsidRPr="00174610">
        <w:rPr>
          <w:rFonts w:ascii="Arial" w:hAnsi="Arial" w:cs="Arial"/>
          <w:sz w:val="22"/>
          <w:szCs w:val="22"/>
        </w:rPr>
        <w:noBreakHyphen/>
        <w:t>on demonstrations and technical sessions will strengthen my understanding of how these innovations can be integrated into our workflows to increase accuracy, efficiency, and operational impact.</w:t>
      </w:r>
      <w:r w:rsidRPr="005E03DD">
        <w:rPr>
          <w:rFonts w:ascii="Arial" w:hAnsi="Arial" w:cs="Arial"/>
          <w:sz w:val="22"/>
          <w:szCs w:val="22"/>
        </w:rPr>
        <w:t xml:space="preserve"> </w:t>
      </w:r>
    </w:p>
    <w:p w14:paraId="365EC1C7" w14:textId="77777777" w:rsidR="00174610" w:rsidRPr="00174610" w:rsidRDefault="00174610" w:rsidP="00174610">
      <w:pPr>
        <w:rPr>
          <w:rFonts w:ascii="Arial" w:hAnsi="Arial" w:cs="Arial"/>
          <w:b/>
          <w:bCs/>
          <w:sz w:val="22"/>
          <w:szCs w:val="22"/>
        </w:rPr>
      </w:pPr>
      <w:r w:rsidRPr="00174610">
        <w:rPr>
          <w:rFonts w:ascii="Arial" w:hAnsi="Arial" w:cs="Arial"/>
          <w:b/>
          <w:bCs/>
          <w:sz w:val="22"/>
          <w:szCs w:val="22"/>
        </w:rPr>
        <w:t>3. GEOINT Foreword: Science, Research, and Innovation Focus</w:t>
      </w:r>
    </w:p>
    <w:p w14:paraId="6C3CBAE5" w14:textId="5557F373" w:rsidR="00174610" w:rsidRPr="00174610" w:rsidRDefault="00174610" w:rsidP="00174610">
      <w:pPr>
        <w:rPr>
          <w:rFonts w:ascii="Arial" w:hAnsi="Arial" w:cs="Arial"/>
          <w:sz w:val="22"/>
          <w:szCs w:val="22"/>
        </w:rPr>
      </w:pPr>
      <w:r w:rsidRPr="00174610">
        <w:rPr>
          <w:rFonts w:ascii="Arial" w:hAnsi="Arial" w:cs="Arial"/>
          <w:sz w:val="22"/>
          <w:szCs w:val="22"/>
        </w:rPr>
        <w:t>The 2026 program includes GEOINT Foreword, a full-day, research</w:t>
      </w:r>
      <w:r w:rsidRPr="00174610">
        <w:rPr>
          <w:rFonts w:ascii="Arial" w:hAnsi="Arial" w:cs="Arial"/>
          <w:sz w:val="22"/>
          <w:szCs w:val="22"/>
        </w:rPr>
        <w:noBreakHyphen/>
        <w:t>driven pre</w:t>
      </w:r>
      <w:r w:rsidRPr="00174610">
        <w:rPr>
          <w:rFonts w:ascii="Arial" w:hAnsi="Arial" w:cs="Arial"/>
          <w:sz w:val="22"/>
          <w:szCs w:val="22"/>
        </w:rPr>
        <w:noBreakHyphen/>
        <w:t xml:space="preserve">conference event sponsored by Esri. The day will feature sessions led by national labs, academic experts, and innovators, with a keynote delivered by </w:t>
      </w:r>
      <w:r w:rsidRPr="00174610">
        <w:rPr>
          <w:rFonts w:ascii="Arial" w:hAnsi="Arial" w:cs="Arial"/>
          <w:b/>
          <w:bCs/>
          <w:sz w:val="22"/>
          <w:szCs w:val="22"/>
        </w:rPr>
        <w:t>Stephen Winchell</w:t>
      </w:r>
      <w:r w:rsidR="00EA01A4" w:rsidRPr="005E03DD">
        <w:rPr>
          <w:rFonts w:ascii="Arial" w:hAnsi="Arial" w:cs="Arial"/>
          <w:b/>
          <w:bCs/>
          <w:sz w:val="22"/>
          <w:szCs w:val="22"/>
        </w:rPr>
        <w:t>, Director,</w:t>
      </w:r>
      <w:r w:rsidR="00EA01A4" w:rsidRPr="005E03DD">
        <w:rPr>
          <w:rFonts w:ascii="Arial" w:hAnsi="Arial" w:cs="Arial"/>
          <w:b/>
          <w:bCs/>
          <w:color w:val="1B6EC2"/>
          <w:sz w:val="22"/>
          <w:szCs w:val="22"/>
          <w:shd w:val="clear" w:color="auto" w:fill="FFFFFF"/>
        </w:rPr>
        <w:t xml:space="preserve"> </w:t>
      </w:r>
      <w:r w:rsidR="00EA01A4" w:rsidRPr="005E03DD">
        <w:rPr>
          <w:rFonts w:ascii="Arial" w:hAnsi="Arial" w:cs="Arial"/>
          <w:b/>
          <w:bCs/>
          <w:sz w:val="22"/>
          <w:szCs w:val="22"/>
        </w:rPr>
        <w:t>Defense Advanced Research Projects Agency (DARPA)</w:t>
      </w:r>
      <w:r w:rsidRPr="00174610">
        <w:rPr>
          <w:rFonts w:ascii="Arial" w:hAnsi="Arial" w:cs="Arial"/>
          <w:sz w:val="22"/>
          <w:szCs w:val="22"/>
        </w:rPr>
        <w:t xml:space="preserve">. Insights from this event will directly support our team’s efforts to incorporate emerging science and technology into mission planning and analysis. </w:t>
      </w:r>
    </w:p>
    <w:p w14:paraId="70DAC798" w14:textId="46F7ADD5" w:rsidR="00174610" w:rsidRPr="00174610" w:rsidRDefault="00174610" w:rsidP="00174610">
      <w:pPr>
        <w:rPr>
          <w:rFonts w:ascii="Arial" w:hAnsi="Arial" w:cs="Arial"/>
          <w:b/>
          <w:bCs/>
          <w:sz w:val="22"/>
          <w:szCs w:val="22"/>
        </w:rPr>
      </w:pPr>
      <w:r w:rsidRPr="00174610">
        <w:rPr>
          <w:rFonts w:ascii="Arial" w:hAnsi="Arial" w:cs="Arial"/>
          <w:b/>
          <w:bCs/>
          <w:sz w:val="22"/>
          <w:szCs w:val="22"/>
        </w:rPr>
        <w:t xml:space="preserve">4. Networking with </w:t>
      </w:r>
      <w:r w:rsidR="007B6320">
        <w:rPr>
          <w:rFonts w:ascii="Arial" w:hAnsi="Arial" w:cs="Arial"/>
          <w:b/>
          <w:bCs/>
          <w:sz w:val="22"/>
          <w:szCs w:val="22"/>
        </w:rPr>
        <w:t xml:space="preserve">Senior-Level </w:t>
      </w:r>
      <w:r w:rsidRPr="00174610">
        <w:rPr>
          <w:rFonts w:ascii="Arial" w:hAnsi="Arial" w:cs="Arial"/>
          <w:b/>
          <w:bCs/>
          <w:sz w:val="22"/>
          <w:szCs w:val="22"/>
        </w:rPr>
        <w:t>Government, Industry, and Academic Partners</w:t>
      </w:r>
    </w:p>
    <w:p w14:paraId="749E8541" w14:textId="453AC7DB" w:rsidR="00867352" w:rsidRPr="005E03DD" w:rsidRDefault="00FA7FA0">
      <w:pPr>
        <w:rPr>
          <w:rFonts w:ascii="Arial" w:hAnsi="Arial" w:cs="Arial"/>
          <w:sz w:val="22"/>
          <w:szCs w:val="22"/>
        </w:rPr>
      </w:pPr>
      <w:r w:rsidRPr="00FA7FA0">
        <w:rPr>
          <w:rFonts w:ascii="Arial" w:hAnsi="Arial" w:cs="Arial"/>
          <w:sz w:val="22"/>
          <w:szCs w:val="22"/>
        </w:rPr>
        <w:t xml:space="preserve">GEOINT </w:t>
      </w:r>
      <w:r w:rsidR="000079BC" w:rsidRPr="005E03DD">
        <w:rPr>
          <w:rFonts w:ascii="Arial" w:hAnsi="Arial" w:cs="Arial"/>
          <w:sz w:val="22"/>
          <w:szCs w:val="22"/>
        </w:rPr>
        <w:t xml:space="preserve">Symposium </w:t>
      </w:r>
      <w:r w:rsidRPr="00FA7FA0">
        <w:rPr>
          <w:rFonts w:ascii="Arial" w:hAnsi="Arial" w:cs="Arial"/>
          <w:sz w:val="22"/>
          <w:szCs w:val="22"/>
        </w:rPr>
        <w:t>2026 provides unmatched access to leaders across the Intelligence Community, DoD, industry, and academia. Their participation enhances opportunities to engage with senior mission leadership and strengthens the value of in</w:t>
      </w:r>
      <w:r w:rsidRPr="00FA7FA0">
        <w:rPr>
          <w:rFonts w:ascii="Arial" w:hAnsi="Arial" w:cs="Arial"/>
          <w:sz w:val="22"/>
          <w:szCs w:val="22"/>
        </w:rPr>
        <w:noBreakHyphen/>
        <w:t>person collaboration at the event.</w:t>
      </w:r>
    </w:p>
    <w:p w14:paraId="5CE232D0" w14:textId="77777777" w:rsidR="00174610" w:rsidRPr="00174610" w:rsidRDefault="00174610" w:rsidP="00174610">
      <w:pPr>
        <w:rPr>
          <w:rFonts w:ascii="Arial" w:hAnsi="Arial" w:cs="Arial"/>
          <w:b/>
          <w:bCs/>
          <w:sz w:val="22"/>
          <w:szCs w:val="22"/>
        </w:rPr>
      </w:pPr>
      <w:r w:rsidRPr="00174610">
        <w:rPr>
          <w:rFonts w:ascii="Arial" w:hAnsi="Arial" w:cs="Arial"/>
          <w:b/>
          <w:bCs/>
          <w:sz w:val="22"/>
          <w:szCs w:val="22"/>
        </w:rPr>
        <w:t>5. Workforce Development and Skills Growth</w:t>
      </w:r>
    </w:p>
    <w:p w14:paraId="7A128523" w14:textId="52D66217" w:rsidR="005E03DD" w:rsidRDefault="00174610">
      <w:pPr>
        <w:rPr>
          <w:rFonts w:ascii="Arial" w:hAnsi="Arial" w:cs="Arial"/>
          <w:b/>
          <w:bCs/>
          <w:sz w:val="22"/>
          <w:szCs w:val="22"/>
          <w:highlight w:val="yellow"/>
        </w:rPr>
      </w:pPr>
      <w:r w:rsidRPr="00174610">
        <w:rPr>
          <w:rFonts w:ascii="Arial" w:hAnsi="Arial" w:cs="Arial"/>
          <w:sz w:val="22"/>
          <w:szCs w:val="22"/>
        </w:rPr>
        <w:t>The symposium is structured to support career and workforce development through training sessions, lightning talks, and focused technical tracks. These provide opportunities to learn best practices, emerging methodologies, and advancements in visualization, remote sensing, and data analytics.</w:t>
      </w:r>
      <w:r w:rsidR="00CE4C32" w:rsidRPr="005E03DD">
        <w:rPr>
          <w:rFonts w:ascii="Arial" w:hAnsi="Arial" w:cs="Arial"/>
          <w:sz w:val="22"/>
          <w:szCs w:val="22"/>
        </w:rPr>
        <w:t xml:space="preserve"> </w:t>
      </w:r>
    </w:p>
    <w:p w14:paraId="50FF8B0B" w14:textId="7B11EF34" w:rsidR="00174610" w:rsidRPr="00174610" w:rsidRDefault="0065755F" w:rsidP="00174610">
      <w:pPr>
        <w:rPr>
          <w:rFonts w:ascii="Arial" w:hAnsi="Arial" w:cs="Arial"/>
          <w:sz w:val="22"/>
          <w:szCs w:val="22"/>
        </w:rPr>
      </w:pPr>
      <w:r w:rsidRPr="005E03DD">
        <w:rPr>
          <w:rFonts w:ascii="Arial" w:hAnsi="Arial" w:cs="Arial"/>
          <w:b/>
          <w:bCs/>
          <w:sz w:val="14"/>
          <w:szCs w:val="14"/>
          <w:highlight w:val="yellow"/>
        </w:rPr>
        <w:t>[</w:t>
      </w:r>
      <w:r w:rsidR="006F0CD3" w:rsidRPr="005E03DD">
        <w:rPr>
          <w:rFonts w:ascii="Arial" w:hAnsi="Arial" w:cs="Arial"/>
          <w:b/>
          <w:bCs/>
          <w:sz w:val="14"/>
          <w:szCs w:val="14"/>
          <w:highlight w:val="yellow"/>
        </w:rPr>
        <w:t>REMOVE THIS PARAGRAPH IF NOT A U.S. GOVERNMENT EMPLOYEE</w:t>
      </w:r>
      <w:r w:rsidRPr="005E03DD">
        <w:rPr>
          <w:rFonts w:ascii="Arial" w:hAnsi="Arial" w:cs="Arial"/>
          <w:b/>
          <w:bCs/>
          <w:sz w:val="14"/>
          <w:szCs w:val="14"/>
          <w:highlight w:val="yellow"/>
        </w:rPr>
        <w:t>]</w:t>
      </w:r>
      <w:r w:rsidRPr="005E03DD">
        <w:rPr>
          <w:rFonts w:ascii="Arial" w:hAnsi="Arial" w:cs="Arial"/>
          <w:b/>
          <w:bCs/>
          <w:sz w:val="14"/>
          <w:szCs w:val="14"/>
        </w:rPr>
        <w:t xml:space="preserve"> </w:t>
      </w:r>
      <w:r w:rsidR="00174610" w:rsidRPr="00174610">
        <w:rPr>
          <w:rFonts w:ascii="Arial" w:hAnsi="Arial" w:cs="Arial"/>
          <w:b/>
          <w:bCs/>
          <w:sz w:val="22"/>
          <w:szCs w:val="22"/>
        </w:rPr>
        <w:t>Registration and Cost Considerations</w:t>
      </w:r>
    </w:p>
    <w:p w14:paraId="1CB499ED" w14:textId="77777777" w:rsidR="00EE4EC7" w:rsidRPr="00EE4EC7" w:rsidRDefault="00EE4EC7" w:rsidP="00EE4EC7">
      <w:pPr>
        <w:rPr>
          <w:rFonts w:ascii="Arial" w:hAnsi="Arial" w:cs="Arial"/>
          <w:sz w:val="22"/>
          <w:szCs w:val="22"/>
        </w:rPr>
      </w:pPr>
      <w:r w:rsidRPr="00EE4EC7">
        <w:rPr>
          <w:rFonts w:ascii="Arial" w:hAnsi="Arial" w:cs="Arial"/>
          <w:sz w:val="22"/>
          <w:szCs w:val="22"/>
        </w:rPr>
        <w:t>As a U.S. Government attendee, registration for both the pre</w:t>
      </w:r>
      <w:r w:rsidRPr="00EE4EC7">
        <w:rPr>
          <w:rFonts w:ascii="Arial" w:hAnsi="Arial" w:cs="Arial"/>
          <w:sz w:val="22"/>
          <w:szCs w:val="22"/>
        </w:rPr>
        <w:noBreakHyphen/>
        <w:t>conference GEOINT Foreword and the full symposium is provided at no cost, offering significant value while minimizing required organizational funding.</w:t>
      </w:r>
    </w:p>
    <w:p w14:paraId="50327483" w14:textId="4396ED42" w:rsidR="00360FA7" w:rsidRPr="005E03DD" w:rsidRDefault="00360FA7" w:rsidP="00360FA7">
      <w:pPr>
        <w:rPr>
          <w:rFonts w:ascii="Arial" w:hAnsi="Arial" w:cs="Arial"/>
          <w:sz w:val="22"/>
          <w:szCs w:val="22"/>
        </w:rPr>
      </w:pPr>
      <w:r w:rsidRPr="00360FA7">
        <w:rPr>
          <w:rFonts w:ascii="Arial" w:hAnsi="Arial" w:cs="Arial"/>
          <w:sz w:val="22"/>
          <w:szCs w:val="22"/>
        </w:rPr>
        <w:lastRenderedPageBreak/>
        <w:t xml:space="preserve">The registration fees are </w:t>
      </w:r>
      <w:r w:rsidR="00A81ED4" w:rsidRPr="005E03DD">
        <w:rPr>
          <w:rFonts w:ascii="Arial" w:hAnsi="Arial" w:cs="Arial"/>
          <w:sz w:val="22"/>
          <w:szCs w:val="22"/>
        </w:rPr>
        <w:t>listed</w:t>
      </w:r>
      <w:r w:rsidRPr="00360FA7">
        <w:rPr>
          <w:rFonts w:ascii="Arial" w:hAnsi="Arial" w:cs="Arial"/>
          <w:sz w:val="22"/>
          <w:szCs w:val="22"/>
        </w:rPr>
        <w:t> below. For detailed information, please refer to the </w:t>
      </w:r>
      <w:hyperlink r:id="rId8" w:tgtFrame="_blank" w:history="1">
        <w:r w:rsidR="005F4B96" w:rsidRPr="005E03DD">
          <w:rPr>
            <w:rStyle w:val="Hyperlink"/>
            <w:rFonts w:ascii="Arial" w:hAnsi="Arial" w:cs="Arial"/>
            <w:sz w:val="22"/>
            <w:szCs w:val="22"/>
          </w:rPr>
          <w:t>GEOINT Symposium 2026 web</w:t>
        </w:r>
        <w:r w:rsidR="00A61DE9" w:rsidRPr="005E03DD">
          <w:rPr>
            <w:rStyle w:val="Hyperlink"/>
            <w:rFonts w:ascii="Arial" w:hAnsi="Arial" w:cs="Arial"/>
            <w:sz w:val="22"/>
            <w:szCs w:val="22"/>
          </w:rPr>
          <w:t>site</w:t>
        </w:r>
      </w:hyperlink>
      <w:r w:rsidRPr="00360FA7">
        <w:rPr>
          <w:rFonts w:ascii="Arial" w:hAnsi="Arial" w:cs="Arial"/>
          <w:sz w:val="22"/>
          <w:szCs w:val="22"/>
        </w:rPr>
        <w:t>. </w:t>
      </w:r>
    </w:p>
    <w:p w14:paraId="3AAC9384" w14:textId="6C790108" w:rsidR="00360FA7" w:rsidRPr="005E03DD" w:rsidRDefault="00AB186D" w:rsidP="00360FA7">
      <w:pPr>
        <w:rPr>
          <w:rFonts w:ascii="Arial" w:hAnsi="Arial" w:cs="Arial"/>
          <w:b/>
          <w:bCs/>
          <w:sz w:val="22"/>
          <w:szCs w:val="22"/>
        </w:rPr>
      </w:pPr>
      <w:r w:rsidRPr="005E03DD">
        <w:rPr>
          <w:rFonts w:ascii="Arial" w:hAnsi="Arial" w:cs="Arial"/>
          <w:b/>
          <w:bCs/>
          <w:sz w:val="22"/>
          <w:szCs w:val="22"/>
        </w:rPr>
        <w:t>Registration Rates</w:t>
      </w:r>
    </w:p>
    <w:tbl>
      <w:tblPr>
        <w:tblStyle w:val="TableGrid"/>
        <w:tblW w:w="9450" w:type="dxa"/>
        <w:tblLook w:val="04A0" w:firstRow="1" w:lastRow="0" w:firstColumn="1" w:lastColumn="0" w:noHBand="0" w:noVBand="1"/>
      </w:tblPr>
      <w:tblGrid>
        <w:gridCol w:w="5670"/>
        <w:gridCol w:w="1890"/>
        <w:gridCol w:w="1890"/>
      </w:tblGrid>
      <w:tr w:rsidR="00B506E9" w:rsidRPr="00B506E9" w14:paraId="32CA1925" w14:textId="77777777" w:rsidTr="00F26A3B">
        <w:tc>
          <w:tcPr>
            <w:tcW w:w="5670" w:type="dxa"/>
            <w:hideMark/>
          </w:tcPr>
          <w:p w14:paraId="7E89EC28" w14:textId="2CE1120A" w:rsidR="00B506E9" w:rsidRPr="00B506E9" w:rsidRDefault="00FF5B1D" w:rsidP="00B506E9">
            <w:pPr>
              <w:spacing w:after="160" w:line="278" w:lineRule="auto"/>
              <w:rPr>
                <w:rFonts w:ascii="Arial" w:hAnsi="Arial" w:cs="Arial"/>
                <w:b/>
                <w:bCs/>
                <w:sz w:val="22"/>
                <w:szCs w:val="22"/>
              </w:rPr>
            </w:pPr>
            <w:r w:rsidRPr="005E03DD">
              <w:rPr>
                <w:rFonts w:ascii="Arial" w:hAnsi="Arial" w:cs="Arial"/>
                <w:b/>
                <w:bCs/>
                <w:sz w:val="22"/>
                <w:szCs w:val="22"/>
              </w:rPr>
              <w:t>I</w:t>
            </w:r>
            <w:r w:rsidR="00B506E9" w:rsidRPr="00B506E9">
              <w:rPr>
                <w:rFonts w:ascii="Arial" w:hAnsi="Arial" w:cs="Arial"/>
                <w:b/>
                <w:bCs/>
                <w:sz w:val="22"/>
                <w:szCs w:val="22"/>
              </w:rPr>
              <w:t>ndustry</w:t>
            </w:r>
          </w:p>
        </w:tc>
        <w:tc>
          <w:tcPr>
            <w:tcW w:w="1890" w:type="dxa"/>
            <w:hideMark/>
          </w:tcPr>
          <w:p w14:paraId="0C35B75E" w14:textId="77777777" w:rsidR="00B506E9" w:rsidRPr="00B506E9" w:rsidRDefault="00B506E9" w:rsidP="00B506E9">
            <w:pPr>
              <w:spacing w:after="160" w:line="278" w:lineRule="auto"/>
              <w:rPr>
                <w:rFonts w:ascii="Arial" w:hAnsi="Arial" w:cs="Arial"/>
                <w:b/>
                <w:bCs/>
                <w:sz w:val="22"/>
                <w:szCs w:val="22"/>
              </w:rPr>
            </w:pPr>
            <w:r w:rsidRPr="00B506E9">
              <w:rPr>
                <w:rFonts w:ascii="Arial" w:hAnsi="Arial" w:cs="Arial"/>
                <w:b/>
                <w:bCs/>
                <w:sz w:val="22"/>
                <w:szCs w:val="22"/>
              </w:rPr>
              <w:t>Member</w:t>
            </w:r>
          </w:p>
        </w:tc>
        <w:tc>
          <w:tcPr>
            <w:tcW w:w="1890" w:type="dxa"/>
            <w:hideMark/>
          </w:tcPr>
          <w:p w14:paraId="03C835F1" w14:textId="77777777" w:rsidR="00B506E9" w:rsidRPr="00B506E9" w:rsidRDefault="00B506E9" w:rsidP="00B506E9">
            <w:pPr>
              <w:spacing w:after="160" w:line="278" w:lineRule="auto"/>
              <w:rPr>
                <w:rFonts w:ascii="Arial" w:hAnsi="Arial" w:cs="Arial"/>
                <w:b/>
                <w:bCs/>
                <w:sz w:val="22"/>
                <w:szCs w:val="22"/>
              </w:rPr>
            </w:pPr>
            <w:r w:rsidRPr="00B506E9">
              <w:rPr>
                <w:rFonts w:ascii="Arial" w:hAnsi="Arial" w:cs="Arial"/>
                <w:b/>
                <w:bCs/>
                <w:sz w:val="22"/>
                <w:szCs w:val="22"/>
              </w:rPr>
              <w:t>Non-Member</w:t>
            </w:r>
          </w:p>
        </w:tc>
      </w:tr>
      <w:tr w:rsidR="00B506E9" w:rsidRPr="00B506E9" w14:paraId="469DC378" w14:textId="77777777" w:rsidTr="00F26A3B">
        <w:trPr>
          <w:trHeight w:val="20"/>
        </w:trPr>
        <w:tc>
          <w:tcPr>
            <w:tcW w:w="5670" w:type="dxa"/>
            <w:hideMark/>
          </w:tcPr>
          <w:p w14:paraId="0E337BEF"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Foreword Day (Sunday)</w:t>
            </w:r>
          </w:p>
        </w:tc>
        <w:tc>
          <w:tcPr>
            <w:tcW w:w="1890" w:type="dxa"/>
            <w:hideMark/>
          </w:tcPr>
          <w:p w14:paraId="68262AFB"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$649</w:t>
            </w:r>
          </w:p>
        </w:tc>
        <w:tc>
          <w:tcPr>
            <w:tcW w:w="1890" w:type="dxa"/>
            <w:hideMark/>
          </w:tcPr>
          <w:p w14:paraId="1B4BD101"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$699</w:t>
            </w:r>
          </w:p>
        </w:tc>
      </w:tr>
      <w:tr w:rsidR="00B506E9" w:rsidRPr="00B506E9" w14:paraId="063E49B3" w14:textId="77777777" w:rsidTr="00F26A3B">
        <w:tc>
          <w:tcPr>
            <w:tcW w:w="5670" w:type="dxa"/>
            <w:hideMark/>
          </w:tcPr>
          <w:p w14:paraId="2D609D99"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1-Day Expo (Mon, Tue, or Wed)</w:t>
            </w:r>
          </w:p>
        </w:tc>
        <w:tc>
          <w:tcPr>
            <w:tcW w:w="1890" w:type="dxa"/>
            <w:hideMark/>
          </w:tcPr>
          <w:p w14:paraId="6E8AC99A"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$749</w:t>
            </w:r>
          </w:p>
        </w:tc>
        <w:tc>
          <w:tcPr>
            <w:tcW w:w="1890" w:type="dxa"/>
            <w:hideMark/>
          </w:tcPr>
          <w:p w14:paraId="5D64FCAC"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$799</w:t>
            </w:r>
          </w:p>
        </w:tc>
      </w:tr>
      <w:tr w:rsidR="00B506E9" w:rsidRPr="00B506E9" w14:paraId="5F15AC1B" w14:textId="77777777" w:rsidTr="00F26A3B">
        <w:tc>
          <w:tcPr>
            <w:tcW w:w="5670" w:type="dxa"/>
            <w:hideMark/>
          </w:tcPr>
          <w:p w14:paraId="1E9E0B21"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2-Day Expo (</w:t>
            </w:r>
            <w:proofErr w:type="spellStart"/>
            <w:r w:rsidRPr="00B506E9">
              <w:rPr>
                <w:rFonts w:ascii="Arial" w:hAnsi="Arial" w:cs="Arial"/>
                <w:sz w:val="22"/>
                <w:szCs w:val="22"/>
              </w:rPr>
              <w:t>Mon+Tue</w:t>
            </w:r>
            <w:proofErr w:type="spellEnd"/>
            <w:r w:rsidRPr="00B506E9">
              <w:rPr>
                <w:rFonts w:ascii="Arial" w:hAnsi="Arial" w:cs="Arial"/>
                <w:sz w:val="22"/>
                <w:szCs w:val="22"/>
              </w:rPr>
              <w:t xml:space="preserve"> or </w:t>
            </w:r>
            <w:proofErr w:type="spellStart"/>
            <w:r w:rsidRPr="00B506E9">
              <w:rPr>
                <w:rFonts w:ascii="Arial" w:hAnsi="Arial" w:cs="Arial"/>
                <w:sz w:val="22"/>
                <w:szCs w:val="22"/>
              </w:rPr>
              <w:t>Tue+Wed</w:t>
            </w:r>
            <w:proofErr w:type="spellEnd"/>
            <w:r w:rsidRPr="00B506E9">
              <w:rPr>
                <w:rFonts w:ascii="Arial" w:hAnsi="Arial" w:cs="Arial"/>
                <w:sz w:val="22"/>
                <w:szCs w:val="22"/>
              </w:rPr>
              <w:t>)</w:t>
            </w:r>
          </w:p>
        </w:tc>
        <w:tc>
          <w:tcPr>
            <w:tcW w:w="1890" w:type="dxa"/>
            <w:hideMark/>
          </w:tcPr>
          <w:p w14:paraId="301DC62F"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$1,398</w:t>
            </w:r>
          </w:p>
        </w:tc>
        <w:tc>
          <w:tcPr>
            <w:tcW w:w="1890" w:type="dxa"/>
            <w:hideMark/>
          </w:tcPr>
          <w:p w14:paraId="0148C0B6"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$1,498</w:t>
            </w:r>
          </w:p>
        </w:tc>
      </w:tr>
      <w:tr w:rsidR="00B506E9" w:rsidRPr="00B506E9" w14:paraId="7CBAD6B7" w14:textId="77777777" w:rsidTr="00F26A3B">
        <w:tc>
          <w:tcPr>
            <w:tcW w:w="5670" w:type="dxa"/>
            <w:hideMark/>
          </w:tcPr>
          <w:p w14:paraId="5D78652B"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Full Symposium (Mon, Tues, Wed)</w:t>
            </w:r>
          </w:p>
        </w:tc>
        <w:tc>
          <w:tcPr>
            <w:tcW w:w="1890" w:type="dxa"/>
            <w:hideMark/>
          </w:tcPr>
          <w:p w14:paraId="6ECE145C"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$2,299</w:t>
            </w:r>
          </w:p>
        </w:tc>
        <w:tc>
          <w:tcPr>
            <w:tcW w:w="1890" w:type="dxa"/>
            <w:hideMark/>
          </w:tcPr>
          <w:p w14:paraId="72F00348"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$2,499</w:t>
            </w:r>
          </w:p>
        </w:tc>
      </w:tr>
      <w:tr w:rsidR="00B506E9" w:rsidRPr="00B506E9" w14:paraId="636D9281" w14:textId="77777777" w:rsidTr="00F26A3B">
        <w:tc>
          <w:tcPr>
            <w:tcW w:w="5670" w:type="dxa"/>
            <w:hideMark/>
          </w:tcPr>
          <w:p w14:paraId="26CC2A89"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Full Conference (Foreword + Symposium)</w:t>
            </w:r>
          </w:p>
        </w:tc>
        <w:tc>
          <w:tcPr>
            <w:tcW w:w="1890" w:type="dxa"/>
            <w:hideMark/>
          </w:tcPr>
          <w:p w14:paraId="01888D95"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$2,948</w:t>
            </w:r>
          </w:p>
        </w:tc>
        <w:tc>
          <w:tcPr>
            <w:tcW w:w="1890" w:type="dxa"/>
            <w:hideMark/>
          </w:tcPr>
          <w:p w14:paraId="6EAC4F5D"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$3,198</w:t>
            </w:r>
          </w:p>
        </w:tc>
      </w:tr>
    </w:tbl>
    <w:p w14:paraId="7D9A3DA5" w14:textId="77777777" w:rsidR="00B506E9" w:rsidRPr="00B506E9" w:rsidRDefault="00B506E9" w:rsidP="00B506E9">
      <w:pPr>
        <w:rPr>
          <w:rFonts w:ascii="Arial" w:hAnsi="Arial" w:cs="Arial"/>
          <w:vanish/>
          <w:sz w:val="12"/>
          <w:szCs w:val="12"/>
        </w:rPr>
      </w:pPr>
    </w:p>
    <w:p w14:paraId="016BB6B0" w14:textId="77777777" w:rsidR="00B506E9" w:rsidRPr="005E03DD" w:rsidRDefault="00B506E9" w:rsidP="00B506E9">
      <w:pPr>
        <w:rPr>
          <w:rFonts w:ascii="Arial" w:hAnsi="Arial" w:cs="Arial"/>
          <w:sz w:val="22"/>
          <w:szCs w:val="22"/>
        </w:rPr>
      </w:pPr>
    </w:p>
    <w:tbl>
      <w:tblPr>
        <w:tblStyle w:val="TableGrid"/>
        <w:tblW w:w="9445" w:type="dxa"/>
        <w:tblLook w:val="04A0" w:firstRow="1" w:lastRow="0" w:firstColumn="1" w:lastColumn="0" w:noHBand="0" w:noVBand="1"/>
      </w:tblPr>
      <w:tblGrid>
        <w:gridCol w:w="5665"/>
        <w:gridCol w:w="1890"/>
        <w:gridCol w:w="1890"/>
      </w:tblGrid>
      <w:tr w:rsidR="00533854" w:rsidRPr="00533854" w14:paraId="091CBE13" w14:textId="77777777" w:rsidTr="00533854">
        <w:tc>
          <w:tcPr>
            <w:tcW w:w="5665" w:type="dxa"/>
            <w:hideMark/>
          </w:tcPr>
          <w:p w14:paraId="3B4E08E0" w14:textId="77777777" w:rsidR="00533854" w:rsidRPr="00533854" w:rsidRDefault="00533854" w:rsidP="00533854">
            <w:pPr>
              <w:spacing w:after="160" w:line="278" w:lineRule="auto"/>
              <w:rPr>
                <w:rFonts w:ascii="Arial" w:hAnsi="Arial" w:cs="Arial"/>
                <w:b/>
                <w:bCs/>
                <w:sz w:val="22"/>
                <w:szCs w:val="22"/>
              </w:rPr>
            </w:pPr>
            <w:r w:rsidRPr="00533854">
              <w:rPr>
                <w:rFonts w:ascii="Arial" w:hAnsi="Arial" w:cs="Arial"/>
                <w:b/>
                <w:bCs/>
                <w:sz w:val="22"/>
                <w:szCs w:val="22"/>
              </w:rPr>
              <w:t>Government (U.S.)</w:t>
            </w:r>
          </w:p>
        </w:tc>
        <w:tc>
          <w:tcPr>
            <w:tcW w:w="1890" w:type="dxa"/>
            <w:hideMark/>
          </w:tcPr>
          <w:p w14:paraId="3BB74F18" w14:textId="77777777" w:rsidR="00533854" w:rsidRPr="00533854" w:rsidRDefault="00533854" w:rsidP="00533854">
            <w:pPr>
              <w:spacing w:after="160" w:line="278" w:lineRule="auto"/>
              <w:rPr>
                <w:rFonts w:ascii="Arial" w:hAnsi="Arial" w:cs="Arial"/>
                <w:b/>
                <w:bCs/>
                <w:sz w:val="22"/>
                <w:szCs w:val="22"/>
              </w:rPr>
            </w:pPr>
            <w:r w:rsidRPr="00533854">
              <w:rPr>
                <w:rFonts w:ascii="Arial" w:hAnsi="Arial" w:cs="Arial"/>
                <w:b/>
                <w:bCs/>
                <w:sz w:val="22"/>
                <w:szCs w:val="22"/>
              </w:rPr>
              <w:t>Member</w:t>
            </w:r>
          </w:p>
        </w:tc>
        <w:tc>
          <w:tcPr>
            <w:tcW w:w="1890" w:type="dxa"/>
            <w:hideMark/>
          </w:tcPr>
          <w:p w14:paraId="02621DC5" w14:textId="77777777" w:rsidR="00533854" w:rsidRPr="00533854" w:rsidRDefault="00533854" w:rsidP="00533854">
            <w:pPr>
              <w:spacing w:after="160" w:line="278" w:lineRule="auto"/>
              <w:rPr>
                <w:rFonts w:ascii="Arial" w:hAnsi="Arial" w:cs="Arial"/>
                <w:b/>
                <w:bCs/>
                <w:sz w:val="22"/>
                <w:szCs w:val="22"/>
              </w:rPr>
            </w:pPr>
            <w:r w:rsidRPr="00533854">
              <w:rPr>
                <w:rFonts w:ascii="Arial" w:hAnsi="Arial" w:cs="Arial"/>
                <w:b/>
                <w:bCs/>
                <w:sz w:val="22"/>
                <w:szCs w:val="22"/>
              </w:rPr>
              <w:t>Non-Member</w:t>
            </w:r>
          </w:p>
        </w:tc>
      </w:tr>
      <w:tr w:rsidR="00533854" w:rsidRPr="00533854" w14:paraId="431D1B57" w14:textId="77777777" w:rsidTr="00533854">
        <w:tc>
          <w:tcPr>
            <w:tcW w:w="5665" w:type="dxa"/>
            <w:hideMark/>
          </w:tcPr>
          <w:p w14:paraId="2EB49887"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Foreword Day (Sunday)</w:t>
            </w:r>
          </w:p>
        </w:tc>
        <w:tc>
          <w:tcPr>
            <w:tcW w:w="1890" w:type="dxa"/>
            <w:hideMark/>
          </w:tcPr>
          <w:p w14:paraId="614C314C"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$0</w:t>
            </w:r>
          </w:p>
        </w:tc>
        <w:tc>
          <w:tcPr>
            <w:tcW w:w="1890" w:type="dxa"/>
            <w:hideMark/>
          </w:tcPr>
          <w:p w14:paraId="430C1F64"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$0</w:t>
            </w:r>
          </w:p>
        </w:tc>
      </w:tr>
      <w:tr w:rsidR="00533854" w:rsidRPr="00533854" w14:paraId="234E8D82" w14:textId="77777777" w:rsidTr="00533854">
        <w:tc>
          <w:tcPr>
            <w:tcW w:w="5665" w:type="dxa"/>
            <w:hideMark/>
          </w:tcPr>
          <w:p w14:paraId="4EAEB48B"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Full Symposium (Mon, Tues, Wed)</w:t>
            </w:r>
          </w:p>
        </w:tc>
        <w:tc>
          <w:tcPr>
            <w:tcW w:w="1890" w:type="dxa"/>
            <w:hideMark/>
          </w:tcPr>
          <w:p w14:paraId="1F510D78"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$0</w:t>
            </w:r>
          </w:p>
        </w:tc>
        <w:tc>
          <w:tcPr>
            <w:tcW w:w="1890" w:type="dxa"/>
            <w:hideMark/>
          </w:tcPr>
          <w:p w14:paraId="037E6753"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$0</w:t>
            </w:r>
          </w:p>
        </w:tc>
      </w:tr>
      <w:tr w:rsidR="00533854" w:rsidRPr="00533854" w14:paraId="680CE89A" w14:textId="77777777" w:rsidTr="00533854">
        <w:tc>
          <w:tcPr>
            <w:tcW w:w="5665" w:type="dxa"/>
            <w:hideMark/>
          </w:tcPr>
          <w:p w14:paraId="17976A1A"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Full Conference (Foreword + Symposium)</w:t>
            </w:r>
          </w:p>
        </w:tc>
        <w:tc>
          <w:tcPr>
            <w:tcW w:w="1890" w:type="dxa"/>
            <w:hideMark/>
          </w:tcPr>
          <w:p w14:paraId="26CE31ED"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$0</w:t>
            </w:r>
          </w:p>
        </w:tc>
        <w:tc>
          <w:tcPr>
            <w:tcW w:w="1890" w:type="dxa"/>
            <w:hideMark/>
          </w:tcPr>
          <w:p w14:paraId="4F5E19B4" w14:textId="77777777" w:rsidR="00533854" w:rsidRPr="00533854" w:rsidRDefault="00533854" w:rsidP="00533854">
            <w:pPr>
              <w:spacing w:after="160" w:line="278" w:lineRule="auto"/>
              <w:rPr>
                <w:rFonts w:ascii="Arial" w:hAnsi="Arial" w:cs="Arial"/>
                <w:sz w:val="22"/>
                <w:szCs w:val="22"/>
              </w:rPr>
            </w:pPr>
            <w:r w:rsidRPr="00533854">
              <w:rPr>
                <w:rFonts w:ascii="Arial" w:hAnsi="Arial" w:cs="Arial"/>
                <w:sz w:val="22"/>
                <w:szCs w:val="22"/>
              </w:rPr>
              <w:t>$0</w:t>
            </w:r>
          </w:p>
        </w:tc>
      </w:tr>
    </w:tbl>
    <w:p w14:paraId="0DA35FA4" w14:textId="77777777" w:rsidR="00B34A8B" w:rsidRPr="00B506E9" w:rsidRDefault="00B34A8B" w:rsidP="00B506E9">
      <w:pPr>
        <w:rPr>
          <w:rFonts w:ascii="Arial" w:hAnsi="Arial" w:cs="Arial"/>
          <w:vanish/>
          <w:sz w:val="22"/>
          <w:szCs w:val="22"/>
        </w:rPr>
      </w:pPr>
    </w:p>
    <w:p w14:paraId="39379D00" w14:textId="77777777" w:rsidR="00AA1DFD" w:rsidRPr="005E03DD" w:rsidRDefault="00AA1DFD">
      <w:pPr>
        <w:rPr>
          <w:rFonts w:ascii="Arial" w:hAnsi="Arial" w:cs="Arial"/>
          <w:sz w:val="22"/>
          <w:szCs w:val="22"/>
        </w:rPr>
      </w:pPr>
    </w:p>
    <w:tbl>
      <w:tblPr>
        <w:tblStyle w:val="TableGrid"/>
        <w:tblW w:w="9450" w:type="dxa"/>
        <w:tblLook w:val="04A0" w:firstRow="1" w:lastRow="0" w:firstColumn="1" w:lastColumn="0" w:noHBand="0" w:noVBand="1"/>
      </w:tblPr>
      <w:tblGrid>
        <w:gridCol w:w="5670"/>
        <w:gridCol w:w="1890"/>
        <w:gridCol w:w="1890"/>
      </w:tblGrid>
      <w:tr w:rsidR="00B506E9" w:rsidRPr="00B506E9" w14:paraId="290CA000" w14:textId="77777777" w:rsidTr="00F26A3B">
        <w:tc>
          <w:tcPr>
            <w:tcW w:w="5670" w:type="dxa"/>
            <w:hideMark/>
          </w:tcPr>
          <w:p w14:paraId="1C4C2607" w14:textId="3916180D" w:rsidR="00B506E9" w:rsidRPr="00B506E9" w:rsidRDefault="00B506E9" w:rsidP="00B506E9">
            <w:pPr>
              <w:spacing w:after="160" w:line="278" w:lineRule="auto"/>
              <w:rPr>
                <w:rFonts w:ascii="Arial" w:hAnsi="Arial" w:cs="Arial"/>
                <w:b/>
                <w:bCs/>
                <w:sz w:val="22"/>
                <w:szCs w:val="22"/>
              </w:rPr>
            </w:pPr>
            <w:r w:rsidRPr="00B506E9">
              <w:rPr>
                <w:rFonts w:ascii="Arial" w:hAnsi="Arial" w:cs="Arial"/>
                <w:b/>
                <w:bCs/>
                <w:sz w:val="22"/>
                <w:szCs w:val="22"/>
              </w:rPr>
              <w:t>Government (Non-U.S.)</w:t>
            </w:r>
          </w:p>
        </w:tc>
        <w:tc>
          <w:tcPr>
            <w:tcW w:w="1890" w:type="dxa"/>
            <w:hideMark/>
          </w:tcPr>
          <w:p w14:paraId="305B94D7" w14:textId="294BF779" w:rsidR="00B506E9" w:rsidRPr="00B506E9" w:rsidRDefault="00B506E9" w:rsidP="00B506E9">
            <w:pPr>
              <w:spacing w:after="160" w:line="278" w:lineRule="auto"/>
              <w:rPr>
                <w:rFonts w:ascii="Arial" w:hAnsi="Arial" w:cs="Arial"/>
                <w:b/>
                <w:bCs/>
                <w:sz w:val="22"/>
                <w:szCs w:val="22"/>
              </w:rPr>
            </w:pPr>
            <w:r w:rsidRPr="00B506E9">
              <w:rPr>
                <w:rFonts w:ascii="Arial" w:hAnsi="Arial" w:cs="Arial"/>
                <w:b/>
                <w:bCs/>
                <w:sz w:val="22"/>
                <w:szCs w:val="22"/>
              </w:rPr>
              <w:t>Member</w:t>
            </w:r>
          </w:p>
        </w:tc>
        <w:tc>
          <w:tcPr>
            <w:tcW w:w="1890" w:type="dxa"/>
            <w:hideMark/>
          </w:tcPr>
          <w:p w14:paraId="4469C739" w14:textId="56B1E42E" w:rsidR="00B506E9" w:rsidRPr="00B506E9" w:rsidRDefault="00B506E9" w:rsidP="00B506E9">
            <w:pPr>
              <w:spacing w:after="160" w:line="278" w:lineRule="auto"/>
              <w:rPr>
                <w:rFonts w:ascii="Arial" w:hAnsi="Arial" w:cs="Arial"/>
                <w:b/>
                <w:bCs/>
                <w:sz w:val="22"/>
                <w:szCs w:val="22"/>
              </w:rPr>
            </w:pPr>
            <w:r w:rsidRPr="00B506E9">
              <w:rPr>
                <w:rFonts w:ascii="Arial" w:hAnsi="Arial" w:cs="Arial"/>
                <w:b/>
                <w:bCs/>
                <w:sz w:val="22"/>
                <w:szCs w:val="22"/>
              </w:rPr>
              <w:t>Non-Member</w:t>
            </w:r>
          </w:p>
        </w:tc>
      </w:tr>
      <w:tr w:rsidR="00B506E9" w:rsidRPr="00B506E9" w14:paraId="74CC3AD3" w14:textId="77777777" w:rsidTr="00F26A3B">
        <w:tc>
          <w:tcPr>
            <w:tcW w:w="5670" w:type="dxa"/>
            <w:hideMark/>
          </w:tcPr>
          <w:p w14:paraId="6462EA54"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Foreword Day (Sunday)</w:t>
            </w:r>
          </w:p>
        </w:tc>
        <w:tc>
          <w:tcPr>
            <w:tcW w:w="1890" w:type="dxa"/>
            <w:hideMark/>
          </w:tcPr>
          <w:p w14:paraId="41C4798C"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$149</w:t>
            </w:r>
          </w:p>
        </w:tc>
        <w:tc>
          <w:tcPr>
            <w:tcW w:w="1890" w:type="dxa"/>
            <w:hideMark/>
          </w:tcPr>
          <w:p w14:paraId="2977D251"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$199</w:t>
            </w:r>
          </w:p>
        </w:tc>
      </w:tr>
      <w:tr w:rsidR="00B506E9" w:rsidRPr="00B506E9" w14:paraId="49FB31F6" w14:textId="77777777" w:rsidTr="00F26A3B">
        <w:tc>
          <w:tcPr>
            <w:tcW w:w="5670" w:type="dxa"/>
            <w:hideMark/>
          </w:tcPr>
          <w:p w14:paraId="59F9A2D8"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Full Symposium (Mon, Tues, Wed)</w:t>
            </w:r>
          </w:p>
        </w:tc>
        <w:tc>
          <w:tcPr>
            <w:tcW w:w="1890" w:type="dxa"/>
            <w:hideMark/>
          </w:tcPr>
          <w:p w14:paraId="58E90B6A"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$349</w:t>
            </w:r>
          </w:p>
        </w:tc>
        <w:tc>
          <w:tcPr>
            <w:tcW w:w="1890" w:type="dxa"/>
            <w:hideMark/>
          </w:tcPr>
          <w:p w14:paraId="7F67BE44"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$499</w:t>
            </w:r>
          </w:p>
        </w:tc>
      </w:tr>
      <w:tr w:rsidR="00B506E9" w:rsidRPr="00B506E9" w14:paraId="78584406" w14:textId="77777777" w:rsidTr="00F26A3B">
        <w:tc>
          <w:tcPr>
            <w:tcW w:w="5670" w:type="dxa"/>
            <w:hideMark/>
          </w:tcPr>
          <w:p w14:paraId="44B87C90"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Full Conference (Foreword + Symposium)</w:t>
            </w:r>
          </w:p>
        </w:tc>
        <w:tc>
          <w:tcPr>
            <w:tcW w:w="1890" w:type="dxa"/>
            <w:hideMark/>
          </w:tcPr>
          <w:p w14:paraId="748F841D"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$498</w:t>
            </w:r>
          </w:p>
        </w:tc>
        <w:tc>
          <w:tcPr>
            <w:tcW w:w="1890" w:type="dxa"/>
            <w:hideMark/>
          </w:tcPr>
          <w:p w14:paraId="40CC4AA4"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$698</w:t>
            </w:r>
          </w:p>
        </w:tc>
      </w:tr>
    </w:tbl>
    <w:p w14:paraId="6D36A133" w14:textId="77777777" w:rsidR="00B506E9" w:rsidRPr="00B506E9" w:rsidRDefault="00B506E9" w:rsidP="00B506E9">
      <w:pPr>
        <w:rPr>
          <w:rFonts w:ascii="Arial" w:hAnsi="Arial" w:cs="Arial"/>
          <w:vanish/>
          <w:sz w:val="22"/>
          <w:szCs w:val="22"/>
        </w:rPr>
      </w:pPr>
    </w:p>
    <w:p w14:paraId="258ED0DC" w14:textId="77777777" w:rsidR="00AA1DFD" w:rsidRPr="005E03DD" w:rsidRDefault="00AA1DFD">
      <w:pPr>
        <w:rPr>
          <w:rFonts w:ascii="Arial" w:hAnsi="Arial" w:cs="Arial"/>
          <w:sz w:val="22"/>
          <w:szCs w:val="22"/>
        </w:rPr>
      </w:pPr>
    </w:p>
    <w:tbl>
      <w:tblPr>
        <w:tblStyle w:val="TableGrid"/>
        <w:tblW w:w="9450" w:type="dxa"/>
        <w:tblLook w:val="04A0" w:firstRow="1" w:lastRow="0" w:firstColumn="1" w:lastColumn="0" w:noHBand="0" w:noVBand="1"/>
      </w:tblPr>
      <w:tblGrid>
        <w:gridCol w:w="5670"/>
        <w:gridCol w:w="1890"/>
        <w:gridCol w:w="1890"/>
      </w:tblGrid>
      <w:tr w:rsidR="00B506E9" w:rsidRPr="00B506E9" w14:paraId="3F515F95" w14:textId="77777777" w:rsidTr="00F26A3B">
        <w:tc>
          <w:tcPr>
            <w:tcW w:w="5670" w:type="dxa"/>
            <w:hideMark/>
          </w:tcPr>
          <w:p w14:paraId="63D307A7" w14:textId="77777777" w:rsidR="00B506E9" w:rsidRPr="00B506E9" w:rsidRDefault="00B506E9" w:rsidP="00B506E9">
            <w:pPr>
              <w:spacing w:after="160" w:line="278" w:lineRule="auto"/>
              <w:rPr>
                <w:rFonts w:ascii="Arial" w:hAnsi="Arial" w:cs="Arial"/>
                <w:b/>
                <w:bCs/>
                <w:sz w:val="22"/>
                <w:szCs w:val="22"/>
              </w:rPr>
            </w:pPr>
            <w:r w:rsidRPr="00B506E9">
              <w:rPr>
                <w:rFonts w:ascii="Tahoma" w:hAnsi="Tahoma" w:cs="Tahoma"/>
                <w:b/>
                <w:bCs/>
                <w:sz w:val="22"/>
                <w:szCs w:val="22"/>
              </w:rPr>
              <w:t>﻿</w:t>
            </w:r>
            <w:r w:rsidRPr="00B506E9">
              <w:rPr>
                <w:rFonts w:ascii="Arial" w:hAnsi="Arial" w:cs="Arial"/>
                <w:b/>
                <w:bCs/>
                <w:sz w:val="22"/>
                <w:szCs w:val="22"/>
              </w:rPr>
              <w:t>Academic/Young Professional*</w:t>
            </w:r>
          </w:p>
        </w:tc>
        <w:tc>
          <w:tcPr>
            <w:tcW w:w="1890" w:type="dxa"/>
            <w:hideMark/>
          </w:tcPr>
          <w:p w14:paraId="31D981B0" w14:textId="77777777" w:rsidR="00B506E9" w:rsidRPr="00B506E9" w:rsidRDefault="00B506E9" w:rsidP="00B506E9">
            <w:pPr>
              <w:spacing w:after="160" w:line="278" w:lineRule="auto"/>
              <w:rPr>
                <w:rFonts w:ascii="Arial" w:hAnsi="Arial" w:cs="Arial"/>
                <w:b/>
                <w:bCs/>
                <w:sz w:val="22"/>
                <w:szCs w:val="22"/>
              </w:rPr>
            </w:pPr>
            <w:r w:rsidRPr="00B506E9">
              <w:rPr>
                <w:rFonts w:ascii="Arial" w:hAnsi="Arial" w:cs="Arial"/>
                <w:b/>
                <w:bCs/>
                <w:sz w:val="22"/>
                <w:szCs w:val="22"/>
              </w:rPr>
              <w:t>Member</w:t>
            </w:r>
          </w:p>
        </w:tc>
        <w:tc>
          <w:tcPr>
            <w:tcW w:w="1890" w:type="dxa"/>
            <w:hideMark/>
          </w:tcPr>
          <w:p w14:paraId="0051059F" w14:textId="77777777" w:rsidR="00B506E9" w:rsidRPr="00B506E9" w:rsidRDefault="00B506E9" w:rsidP="00B506E9">
            <w:pPr>
              <w:spacing w:after="160" w:line="278" w:lineRule="auto"/>
              <w:rPr>
                <w:rFonts w:ascii="Arial" w:hAnsi="Arial" w:cs="Arial"/>
                <w:b/>
                <w:bCs/>
                <w:sz w:val="22"/>
                <w:szCs w:val="22"/>
              </w:rPr>
            </w:pPr>
            <w:r w:rsidRPr="00B506E9">
              <w:rPr>
                <w:rFonts w:ascii="Arial" w:hAnsi="Arial" w:cs="Arial"/>
                <w:b/>
                <w:bCs/>
                <w:sz w:val="22"/>
                <w:szCs w:val="22"/>
              </w:rPr>
              <w:t>Non-Member</w:t>
            </w:r>
          </w:p>
        </w:tc>
      </w:tr>
      <w:tr w:rsidR="00B506E9" w:rsidRPr="00B506E9" w14:paraId="28BFC0AB" w14:textId="77777777" w:rsidTr="00F26A3B">
        <w:tc>
          <w:tcPr>
            <w:tcW w:w="5670" w:type="dxa"/>
            <w:hideMark/>
          </w:tcPr>
          <w:p w14:paraId="2FCCA129"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Foreword Day (Sunday)</w:t>
            </w:r>
          </w:p>
        </w:tc>
        <w:tc>
          <w:tcPr>
            <w:tcW w:w="1890" w:type="dxa"/>
            <w:hideMark/>
          </w:tcPr>
          <w:p w14:paraId="584F7570"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$399</w:t>
            </w:r>
          </w:p>
        </w:tc>
        <w:tc>
          <w:tcPr>
            <w:tcW w:w="1890" w:type="dxa"/>
            <w:hideMark/>
          </w:tcPr>
          <w:p w14:paraId="7B5937D4"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$449</w:t>
            </w:r>
          </w:p>
        </w:tc>
      </w:tr>
      <w:tr w:rsidR="00B506E9" w:rsidRPr="00B506E9" w14:paraId="194820E9" w14:textId="77777777" w:rsidTr="00F26A3B">
        <w:tc>
          <w:tcPr>
            <w:tcW w:w="5670" w:type="dxa"/>
            <w:hideMark/>
          </w:tcPr>
          <w:p w14:paraId="5F4F3550"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Full Symposium (Mon, Tues, Wed)</w:t>
            </w:r>
          </w:p>
        </w:tc>
        <w:tc>
          <w:tcPr>
            <w:tcW w:w="1890" w:type="dxa"/>
            <w:hideMark/>
          </w:tcPr>
          <w:p w14:paraId="7CBD2C0E"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$549</w:t>
            </w:r>
          </w:p>
        </w:tc>
        <w:tc>
          <w:tcPr>
            <w:tcW w:w="1890" w:type="dxa"/>
            <w:hideMark/>
          </w:tcPr>
          <w:p w14:paraId="005007CE"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$649</w:t>
            </w:r>
          </w:p>
        </w:tc>
      </w:tr>
      <w:tr w:rsidR="00B506E9" w:rsidRPr="00B506E9" w14:paraId="71665739" w14:textId="77777777" w:rsidTr="00F26A3B">
        <w:tc>
          <w:tcPr>
            <w:tcW w:w="5670" w:type="dxa"/>
            <w:hideMark/>
          </w:tcPr>
          <w:p w14:paraId="7F235186"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Full Conference (Foreword + Symposium)</w:t>
            </w:r>
          </w:p>
        </w:tc>
        <w:tc>
          <w:tcPr>
            <w:tcW w:w="1890" w:type="dxa"/>
            <w:hideMark/>
          </w:tcPr>
          <w:p w14:paraId="08FB89CF"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$948</w:t>
            </w:r>
          </w:p>
        </w:tc>
        <w:tc>
          <w:tcPr>
            <w:tcW w:w="1890" w:type="dxa"/>
            <w:hideMark/>
          </w:tcPr>
          <w:p w14:paraId="34E2871E" w14:textId="77777777" w:rsidR="00B506E9" w:rsidRPr="00B506E9" w:rsidRDefault="00B506E9" w:rsidP="00B506E9">
            <w:pPr>
              <w:spacing w:after="160" w:line="278" w:lineRule="auto"/>
              <w:rPr>
                <w:rFonts w:ascii="Arial" w:hAnsi="Arial" w:cs="Arial"/>
                <w:sz w:val="22"/>
                <w:szCs w:val="22"/>
              </w:rPr>
            </w:pPr>
            <w:r w:rsidRPr="00B506E9">
              <w:rPr>
                <w:rFonts w:ascii="Arial" w:hAnsi="Arial" w:cs="Arial"/>
                <w:sz w:val="22"/>
                <w:szCs w:val="22"/>
              </w:rPr>
              <w:t>$1,098</w:t>
            </w:r>
          </w:p>
        </w:tc>
      </w:tr>
    </w:tbl>
    <w:p w14:paraId="7E2D10ED" w14:textId="77777777" w:rsidR="00B506E9" w:rsidRPr="00B506E9" w:rsidRDefault="00B506E9" w:rsidP="00B506E9">
      <w:pPr>
        <w:rPr>
          <w:rFonts w:ascii="Arial" w:hAnsi="Arial" w:cs="Arial"/>
          <w:b/>
          <w:bCs/>
          <w:sz w:val="22"/>
          <w:szCs w:val="22"/>
        </w:rPr>
      </w:pPr>
      <w:r w:rsidRPr="00B506E9">
        <w:rPr>
          <w:rFonts w:ascii="Arial" w:hAnsi="Arial" w:cs="Arial"/>
          <w:b/>
          <w:bCs/>
          <w:sz w:val="22"/>
          <w:szCs w:val="22"/>
        </w:rPr>
        <w:t>*35 years of age or younger</w:t>
      </w:r>
    </w:p>
    <w:p w14:paraId="62217E1C" w14:textId="39EFF23B" w:rsidR="007305F3" w:rsidRDefault="0049356D">
      <w:pPr>
        <w:rPr>
          <w:rFonts w:ascii="Arial" w:hAnsi="Arial" w:cs="Arial"/>
          <w:sz w:val="22"/>
          <w:szCs w:val="22"/>
        </w:rPr>
      </w:pPr>
      <w:r w:rsidRPr="0049356D">
        <w:rPr>
          <w:rFonts w:ascii="Arial" w:hAnsi="Arial" w:cs="Arial"/>
          <w:sz w:val="22"/>
          <w:szCs w:val="22"/>
        </w:rPr>
        <w:t xml:space="preserve">Attendance at GEOINT </w:t>
      </w:r>
      <w:r w:rsidR="00A52B32" w:rsidRPr="005E03DD">
        <w:rPr>
          <w:rFonts w:ascii="Arial" w:hAnsi="Arial" w:cs="Arial"/>
          <w:sz w:val="22"/>
          <w:szCs w:val="22"/>
        </w:rPr>
        <w:t xml:space="preserve">Symposium </w:t>
      </w:r>
      <w:r w:rsidRPr="0049356D">
        <w:rPr>
          <w:rFonts w:ascii="Arial" w:hAnsi="Arial" w:cs="Arial"/>
          <w:sz w:val="22"/>
          <w:szCs w:val="22"/>
        </w:rPr>
        <w:t xml:space="preserve">2026 will directly strengthen our team’s ability to meet mission priorities by bringing back actionable insights, emerging tradecraft, and relevant technology applications. Upon return, I will prepare a concise summary of key takeaways and recommended actions to ensure the organization benefits fully from this investment. </w:t>
      </w:r>
    </w:p>
    <w:p w14:paraId="662F1661" w14:textId="7E5A1D43" w:rsidR="00C83113" w:rsidRDefault="0049356D">
      <w:pPr>
        <w:rPr>
          <w:rFonts w:ascii="Arial" w:hAnsi="Arial" w:cs="Arial"/>
          <w:sz w:val="22"/>
          <w:szCs w:val="22"/>
        </w:rPr>
      </w:pPr>
      <w:r w:rsidRPr="0049356D">
        <w:rPr>
          <w:rFonts w:ascii="Arial" w:hAnsi="Arial" w:cs="Arial"/>
          <w:sz w:val="22"/>
          <w:szCs w:val="22"/>
        </w:rPr>
        <w:t>Thank you for considering this request.</w:t>
      </w:r>
    </w:p>
    <w:p w14:paraId="73C3A40E" w14:textId="6245C840" w:rsidR="00E91110" w:rsidRDefault="00E91110">
      <w:pPr>
        <w:rPr>
          <w:rFonts w:ascii="Arial" w:hAnsi="Arial" w:cs="Arial"/>
          <w:sz w:val="22"/>
          <w:szCs w:val="22"/>
        </w:rPr>
      </w:pPr>
      <w:r>
        <w:rPr>
          <w:rFonts w:ascii="Arial" w:hAnsi="Arial" w:cs="Arial"/>
          <w:sz w:val="22"/>
          <w:szCs w:val="22"/>
        </w:rPr>
        <w:lastRenderedPageBreak/>
        <w:t>Sincerely,</w:t>
      </w:r>
    </w:p>
    <w:p w14:paraId="2E2CE4FC" w14:textId="13DFC262" w:rsidR="00E91110" w:rsidRPr="00DB74EA" w:rsidRDefault="00DB74EA">
      <w:pPr>
        <w:rPr>
          <w:color w:val="0070C0"/>
        </w:rPr>
      </w:pPr>
      <w:r w:rsidRPr="00DB74EA">
        <w:rPr>
          <w:color w:val="0070C0"/>
        </w:rPr>
        <w:t>[Your Name]</w:t>
      </w:r>
    </w:p>
    <w:sectPr w:rsidR="00E91110" w:rsidRPr="00DB74EA" w:rsidSect="005E03DD">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D23"/>
    <w:multiLevelType w:val="multilevel"/>
    <w:tmpl w:val="A39E8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B17E4"/>
    <w:multiLevelType w:val="multilevel"/>
    <w:tmpl w:val="6B1A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E7A04"/>
    <w:multiLevelType w:val="multilevel"/>
    <w:tmpl w:val="9B92B1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1029F"/>
    <w:multiLevelType w:val="multilevel"/>
    <w:tmpl w:val="9048BA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015D4F"/>
    <w:multiLevelType w:val="multilevel"/>
    <w:tmpl w:val="F698C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173378">
    <w:abstractNumId w:val="1"/>
  </w:num>
  <w:num w:numId="2" w16cid:durableId="823353765">
    <w:abstractNumId w:val="0"/>
  </w:num>
  <w:num w:numId="3" w16cid:durableId="792557999">
    <w:abstractNumId w:val="3"/>
  </w:num>
  <w:num w:numId="4" w16cid:durableId="346834647">
    <w:abstractNumId w:val="2"/>
  </w:num>
  <w:num w:numId="5" w16cid:durableId="198338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A7"/>
    <w:rsid w:val="000079BC"/>
    <w:rsid w:val="00010662"/>
    <w:rsid w:val="00174610"/>
    <w:rsid w:val="00217C60"/>
    <w:rsid w:val="00360FA7"/>
    <w:rsid w:val="003A3019"/>
    <w:rsid w:val="0045610E"/>
    <w:rsid w:val="00480C59"/>
    <w:rsid w:val="0049356D"/>
    <w:rsid w:val="004C011E"/>
    <w:rsid w:val="004D0CF6"/>
    <w:rsid w:val="0051605F"/>
    <w:rsid w:val="00533854"/>
    <w:rsid w:val="00575E2C"/>
    <w:rsid w:val="005E03DD"/>
    <w:rsid w:val="005F4B96"/>
    <w:rsid w:val="0065755F"/>
    <w:rsid w:val="00667F00"/>
    <w:rsid w:val="0068041F"/>
    <w:rsid w:val="0068253A"/>
    <w:rsid w:val="006A36DC"/>
    <w:rsid w:val="006F0CD3"/>
    <w:rsid w:val="007216B5"/>
    <w:rsid w:val="007227F4"/>
    <w:rsid w:val="007305F3"/>
    <w:rsid w:val="007961B7"/>
    <w:rsid w:val="0079692F"/>
    <w:rsid w:val="007B6320"/>
    <w:rsid w:val="007D7BF2"/>
    <w:rsid w:val="00867352"/>
    <w:rsid w:val="008A0EF9"/>
    <w:rsid w:val="008B514F"/>
    <w:rsid w:val="008E1E58"/>
    <w:rsid w:val="008F6F82"/>
    <w:rsid w:val="008F7433"/>
    <w:rsid w:val="0090106A"/>
    <w:rsid w:val="00991F50"/>
    <w:rsid w:val="009B4E01"/>
    <w:rsid w:val="009D6805"/>
    <w:rsid w:val="00A32494"/>
    <w:rsid w:val="00A417EE"/>
    <w:rsid w:val="00A52B32"/>
    <w:rsid w:val="00A61DE9"/>
    <w:rsid w:val="00A7496E"/>
    <w:rsid w:val="00A81ED4"/>
    <w:rsid w:val="00AA1DFD"/>
    <w:rsid w:val="00AB186D"/>
    <w:rsid w:val="00AF4D81"/>
    <w:rsid w:val="00B34A8B"/>
    <w:rsid w:val="00B46566"/>
    <w:rsid w:val="00B506E9"/>
    <w:rsid w:val="00B514CC"/>
    <w:rsid w:val="00C73DD4"/>
    <w:rsid w:val="00C83113"/>
    <w:rsid w:val="00CE4C32"/>
    <w:rsid w:val="00CF7DA4"/>
    <w:rsid w:val="00CF7F08"/>
    <w:rsid w:val="00DB74EA"/>
    <w:rsid w:val="00E91110"/>
    <w:rsid w:val="00EA01A4"/>
    <w:rsid w:val="00EB4C54"/>
    <w:rsid w:val="00ED47DD"/>
    <w:rsid w:val="00EE4EC7"/>
    <w:rsid w:val="00F26A3B"/>
    <w:rsid w:val="00F61028"/>
    <w:rsid w:val="00FA7FA0"/>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F011"/>
  <w15:chartTrackingRefBased/>
  <w15:docId w15:val="{9F366D8B-EF2B-4355-A9ED-F4EE3F72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A7"/>
    <w:rPr>
      <w:rFonts w:eastAsiaTheme="majorEastAsia" w:cstheme="majorBidi"/>
      <w:color w:val="272727" w:themeColor="text1" w:themeTint="D8"/>
    </w:rPr>
  </w:style>
  <w:style w:type="paragraph" w:styleId="Title">
    <w:name w:val="Title"/>
    <w:basedOn w:val="Normal"/>
    <w:next w:val="Normal"/>
    <w:link w:val="TitleChar"/>
    <w:uiPriority w:val="10"/>
    <w:qFormat/>
    <w:rsid w:val="00360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A7"/>
    <w:pPr>
      <w:spacing w:before="160"/>
      <w:jc w:val="center"/>
    </w:pPr>
    <w:rPr>
      <w:i/>
      <w:iCs/>
      <w:color w:val="404040" w:themeColor="text1" w:themeTint="BF"/>
    </w:rPr>
  </w:style>
  <w:style w:type="character" w:customStyle="1" w:styleId="QuoteChar">
    <w:name w:val="Quote Char"/>
    <w:basedOn w:val="DefaultParagraphFont"/>
    <w:link w:val="Quote"/>
    <w:uiPriority w:val="29"/>
    <w:rsid w:val="00360FA7"/>
    <w:rPr>
      <w:i/>
      <w:iCs/>
      <w:color w:val="404040" w:themeColor="text1" w:themeTint="BF"/>
    </w:rPr>
  </w:style>
  <w:style w:type="paragraph" w:styleId="ListParagraph">
    <w:name w:val="List Paragraph"/>
    <w:basedOn w:val="Normal"/>
    <w:uiPriority w:val="34"/>
    <w:qFormat/>
    <w:rsid w:val="00360FA7"/>
    <w:pPr>
      <w:ind w:left="720"/>
      <w:contextualSpacing/>
    </w:pPr>
  </w:style>
  <w:style w:type="character" w:styleId="IntenseEmphasis">
    <w:name w:val="Intense Emphasis"/>
    <w:basedOn w:val="DefaultParagraphFont"/>
    <w:uiPriority w:val="21"/>
    <w:qFormat/>
    <w:rsid w:val="00360FA7"/>
    <w:rPr>
      <w:i/>
      <w:iCs/>
      <w:color w:val="0F4761" w:themeColor="accent1" w:themeShade="BF"/>
    </w:rPr>
  </w:style>
  <w:style w:type="paragraph" w:styleId="IntenseQuote">
    <w:name w:val="Intense Quote"/>
    <w:basedOn w:val="Normal"/>
    <w:next w:val="Normal"/>
    <w:link w:val="IntenseQuoteChar"/>
    <w:uiPriority w:val="30"/>
    <w:qFormat/>
    <w:rsid w:val="0036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A7"/>
    <w:rPr>
      <w:i/>
      <w:iCs/>
      <w:color w:val="0F4761" w:themeColor="accent1" w:themeShade="BF"/>
    </w:rPr>
  </w:style>
  <w:style w:type="character" w:styleId="IntenseReference">
    <w:name w:val="Intense Reference"/>
    <w:basedOn w:val="DefaultParagraphFont"/>
    <w:uiPriority w:val="32"/>
    <w:qFormat/>
    <w:rsid w:val="00360FA7"/>
    <w:rPr>
      <w:b/>
      <w:bCs/>
      <w:smallCaps/>
      <w:color w:val="0F4761" w:themeColor="accent1" w:themeShade="BF"/>
      <w:spacing w:val="5"/>
    </w:rPr>
  </w:style>
  <w:style w:type="character" w:styleId="Hyperlink">
    <w:name w:val="Hyperlink"/>
    <w:basedOn w:val="DefaultParagraphFont"/>
    <w:uiPriority w:val="99"/>
    <w:unhideWhenUsed/>
    <w:rsid w:val="00360FA7"/>
    <w:rPr>
      <w:color w:val="467886" w:themeColor="hyperlink"/>
      <w:u w:val="single"/>
    </w:rPr>
  </w:style>
  <w:style w:type="character" w:styleId="UnresolvedMention">
    <w:name w:val="Unresolved Mention"/>
    <w:basedOn w:val="DefaultParagraphFont"/>
    <w:uiPriority w:val="99"/>
    <w:semiHidden/>
    <w:unhideWhenUsed/>
    <w:rsid w:val="00360FA7"/>
    <w:rPr>
      <w:color w:val="605E5C"/>
      <w:shd w:val="clear" w:color="auto" w:fill="E1DFDD"/>
    </w:rPr>
  </w:style>
  <w:style w:type="table" w:styleId="TableGrid">
    <w:name w:val="Table Grid"/>
    <w:basedOn w:val="TableNormal"/>
    <w:uiPriority w:val="39"/>
    <w:rsid w:val="00F2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if.org/geoint-symposium-202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D531FA91DBA41B7D90A6F096B9BB8" ma:contentTypeVersion="15" ma:contentTypeDescription="Create a new document." ma:contentTypeScope="" ma:versionID="dc6f66518c7f56e1c7b6a3b8cd9f3a52">
  <xsd:schema xmlns:xsd="http://www.w3.org/2001/XMLSchema" xmlns:xs="http://www.w3.org/2001/XMLSchema" xmlns:p="http://schemas.microsoft.com/office/2006/metadata/properties" xmlns:ns2="ded25b07-0801-45e3-9442-d17b937a2561" xmlns:ns3="f1584f75-757d-4b3e-ac32-10701c14421f" targetNamespace="http://schemas.microsoft.com/office/2006/metadata/properties" ma:root="true" ma:fieldsID="f94c9da7b69783d4fe5f0db92cad0581" ns2:_="" ns3:_="">
    <xsd:import namespace="ded25b07-0801-45e3-9442-d17b937a2561"/>
    <xsd:import namespace="f1584f75-757d-4b3e-ac32-10701c144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LastEdi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25b07-0801-45e3-9442-d17b937a2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695904-7782-4349-9b94-cfc2eebb86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LastEdits" ma:index="21" nillable="true" ma:displayName="Last Edits" ma:format="DateTime" ma:internalName="LastEdits">
      <xsd:simpleType>
        <xsd:restriction base="dms:DateTime"/>
      </xsd:simpleType>
    </xsd:element>
    <xsd:element name="Date" ma:index="22"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584f75-757d-4b3e-ac32-10701c1442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4171fc-1acf-4927-b237-4a2e7df8818d}" ma:internalName="TaxCatchAll" ma:showField="CatchAllData" ma:web="f1584f75-757d-4b3e-ac32-10701c144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ded25b07-0801-45e3-9442-d17b937a2561" xsi:nil="true"/>
    <LastEdits xmlns="ded25b07-0801-45e3-9442-d17b937a2561" xsi:nil="true"/>
    <lcf76f155ced4ddcb4097134ff3c332f xmlns="ded25b07-0801-45e3-9442-d17b937a2561">
      <Terms xmlns="http://schemas.microsoft.com/office/infopath/2007/PartnerControls"/>
    </lcf76f155ced4ddcb4097134ff3c332f>
    <TaxCatchAll xmlns="f1584f75-757d-4b3e-ac32-10701c14421f"/>
  </documentManagement>
</p:properties>
</file>

<file path=customXml/itemProps1.xml><?xml version="1.0" encoding="utf-8"?>
<ds:datastoreItem xmlns:ds="http://schemas.openxmlformats.org/officeDocument/2006/customXml" ds:itemID="{FEDF624D-5FD0-41FD-8FCC-4F8144004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25b07-0801-45e3-9442-d17b937a2561"/>
    <ds:schemaRef ds:uri="f1584f75-757d-4b3e-ac32-10701c144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EB3A3-17C9-4FCB-9F5E-FFE0CDB917E3}">
  <ds:schemaRefs>
    <ds:schemaRef ds:uri="http://schemas.microsoft.com/sharepoint/v3/contenttype/forms"/>
  </ds:schemaRefs>
</ds:datastoreItem>
</file>

<file path=customXml/itemProps3.xml><?xml version="1.0" encoding="utf-8"?>
<ds:datastoreItem xmlns:ds="http://schemas.openxmlformats.org/officeDocument/2006/customXml" ds:itemID="{0C74F2F7-8849-4B68-A8E3-68666AD135CA}">
  <ds:schemaRefs>
    <ds:schemaRef ds:uri="http://schemas.microsoft.com/office/2006/metadata/properties"/>
    <ds:schemaRef ds:uri="http://schemas.microsoft.com/office/infopath/2007/PartnerControls"/>
    <ds:schemaRef ds:uri="ded25b07-0801-45e3-9442-d17b937a2561"/>
    <ds:schemaRef ds:uri="f1584f75-757d-4b3e-ac32-10701c14421f"/>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Rutberg</dc:creator>
  <cp:keywords/>
  <dc:description/>
  <cp:lastModifiedBy>Rebecca Rutberg</cp:lastModifiedBy>
  <cp:revision>63</cp:revision>
  <dcterms:created xsi:type="dcterms:W3CDTF">2026-02-24T18:56:00Z</dcterms:created>
  <dcterms:modified xsi:type="dcterms:W3CDTF">2026-03-02T15:58:00Z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0x010100192D531FA91DBA41B7D90A6F096B9BB8</vt:lpwstr>
  </property>
  <property fmtid="{D5CDD505-2E9C-101B-9397-08002B2CF9AE}" pid="3" name="MediaServiceImageTags">
    <vt:lpwstr/>
  </property>
</Properties>
</file>